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F107EC">
      <w:pPr>
        <w:spacing w:line="480" w:lineRule="exact"/>
        <w:jc w:val="center"/>
        <w:rPr>
          <w:rFonts w:ascii="黑体" w:hAnsi="黑体" w:eastAsia="黑体"/>
          <w:color w:val="auto"/>
          <w:sz w:val="36"/>
          <w:szCs w:val="28"/>
        </w:rPr>
      </w:pPr>
      <w:r>
        <w:rPr>
          <w:rFonts w:hint="eastAsia" w:ascii="黑体" w:hAnsi="黑体" w:eastAsia="黑体"/>
          <w:color w:val="auto"/>
          <w:sz w:val="36"/>
          <w:szCs w:val="28"/>
        </w:rPr>
        <w:t>商学院（管理学院）</w:t>
      </w:r>
      <w:r>
        <w:rPr>
          <w:rFonts w:ascii="黑体" w:hAnsi="黑体" w:eastAsia="黑体"/>
          <w:color w:val="auto"/>
          <w:sz w:val="36"/>
          <w:szCs w:val="28"/>
        </w:rPr>
        <w:t>科研工作量计算办法</w:t>
      </w:r>
    </w:p>
    <w:p w14:paraId="7DC9A4AC">
      <w:pPr>
        <w:adjustRightInd w:val="0"/>
        <w:snapToGrid w:val="0"/>
        <w:spacing w:line="480" w:lineRule="exact"/>
        <w:ind w:left="560" w:hanging="560" w:hangingChars="200"/>
        <w:rPr>
          <w:rFonts w:ascii="仿宋" w:hAnsi="仿宋" w:eastAsia="仿宋"/>
          <w:color w:val="auto"/>
          <w:sz w:val="28"/>
          <w:szCs w:val="28"/>
        </w:rPr>
      </w:pPr>
    </w:p>
    <w:p w14:paraId="3BBF66AD">
      <w:pPr>
        <w:adjustRightInd w:val="0"/>
        <w:snapToGrid w:val="0"/>
        <w:spacing w:line="520" w:lineRule="exact"/>
        <w:ind w:firstLine="602" w:firstLineChars="200"/>
        <w:rPr>
          <w:rFonts w:ascii="仿宋" w:hAnsi="仿宋" w:eastAsia="仿宋"/>
          <w:b/>
          <w:color w:val="auto"/>
          <w:sz w:val="30"/>
          <w:szCs w:val="30"/>
        </w:rPr>
      </w:pPr>
      <w:r>
        <w:rPr>
          <w:rFonts w:ascii="仿宋" w:hAnsi="仿宋" w:eastAsia="仿宋"/>
          <w:b/>
          <w:color w:val="auto"/>
          <w:sz w:val="30"/>
          <w:szCs w:val="30"/>
        </w:rPr>
        <w:t>一、科研项目工作量</w:t>
      </w:r>
    </w:p>
    <w:p w14:paraId="38D2CEFE">
      <w:pPr>
        <w:adjustRightInd w:val="0"/>
        <w:snapToGrid w:val="0"/>
        <w:spacing w:line="520" w:lineRule="exact"/>
        <w:ind w:firstLine="602" w:firstLineChars="200"/>
        <w:rPr>
          <w:rFonts w:ascii="仿宋" w:hAnsi="仿宋" w:eastAsia="仿宋"/>
          <w:b/>
          <w:color w:val="auto"/>
          <w:sz w:val="30"/>
          <w:szCs w:val="30"/>
        </w:rPr>
      </w:pPr>
      <w:r>
        <w:rPr>
          <w:rFonts w:ascii="仿宋" w:hAnsi="仿宋" w:eastAsia="仿宋"/>
          <w:b/>
          <w:color w:val="auto"/>
          <w:sz w:val="30"/>
          <w:szCs w:val="30"/>
        </w:rPr>
        <w:t>（一）纵向项目工作量</w:t>
      </w:r>
    </w:p>
    <w:p w14:paraId="6909FA0D">
      <w:pPr>
        <w:adjustRightInd w:val="0"/>
        <w:snapToGrid w:val="0"/>
        <w:spacing w:line="520" w:lineRule="exact"/>
        <w:ind w:firstLine="600" w:firstLineChars="200"/>
        <w:rPr>
          <w:rFonts w:ascii="仿宋" w:hAnsi="仿宋" w:eastAsia="仿宋"/>
          <w:b/>
          <w:color w:val="auto"/>
          <w:sz w:val="30"/>
          <w:szCs w:val="30"/>
        </w:rPr>
      </w:pPr>
      <w:r>
        <w:rPr>
          <w:rFonts w:hint="eastAsia" w:ascii="仿宋" w:hAnsi="仿宋" w:eastAsia="仿宋"/>
          <w:color w:val="auto"/>
          <w:sz w:val="30"/>
          <w:szCs w:val="30"/>
        </w:rPr>
        <w:t>1.纵向项目业绩分参照学校科研业绩分中纵向项目业绩分计算办法计算，计算期限与学校同步</w:t>
      </w:r>
      <w:r>
        <w:rPr>
          <w:rFonts w:ascii="仿宋" w:hAnsi="仿宋" w:eastAsia="仿宋"/>
          <w:color w:val="auto"/>
          <w:sz w:val="30"/>
          <w:szCs w:val="30"/>
        </w:rPr>
        <w:t>。</w:t>
      </w:r>
    </w:p>
    <w:p w14:paraId="475762BC">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w:t>
      </w:r>
      <w:r>
        <w:rPr>
          <w:rFonts w:ascii="仿宋" w:hAnsi="仿宋" w:eastAsia="仿宋"/>
          <w:color w:val="auto"/>
          <w:sz w:val="30"/>
          <w:szCs w:val="30"/>
        </w:rPr>
        <w:t>.</w:t>
      </w:r>
      <w:r>
        <w:rPr>
          <w:rFonts w:hint="eastAsia" w:ascii="仿宋" w:hAnsi="仿宋" w:eastAsia="仿宋"/>
          <w:color w:val="auto"/>
          <w:sz w:val="30"/>
          <w:szCs w:val="30"/>
        </w:rPr>
        <w:t>对于申报未立项的省部级以上项目的补贴：</w:t>
      </w:r>
      <w:r>
        <w:rPr>
          <w:rFonts w:ascii="仿宋" w:hAnsi="仿宋" w:eastAsia="仿宋"/>
          <w:color w:val="auto"/>
          <w:sz w:val="30"/>
          <w:szCs w:val="30"/>
        </w:rPr>
        <w:t>国家级项目</w:t>
      </w:r>
      <w:r>
        <w:rPr>
          <w:rFonts w:hint="eastAsia" w:ascii="仿宋" w:hAnsi="仿宋" w:eastAsia="仿宋"/>
          <w:color w:val="auto"/>
          <w:sz w:val="30"/>
          <w:szCs w:val="30"/>
        </w:rPr>
        <w:t>（</w:t>
      </w:r>
      <w:r>
        <w:rPr>
          <w:rFonts w:ascii="仿宋" w:hAnsi="仿宋" w:eastAsia="仿宋"/>
          <w:color w:val="auto"/>
          <w:sz w:val="30"/>
          <w:szCs w:val="30"/>
        </w:rPr>
        <w:t>限项</w:t>
      </w:r>
      <w:r>
        <w:rPr>
          <w:rFonts w:hint="eastAsia" w:ascii="仿宋" w:hAnsi="仿宋" w:eastAsia="仿宋"/>
          <w:color w:val="auto"/>
          <w:sz w:val="30"/>
          <w:szCs w:val="30"/>
        </w:rPr>
        <w:t>）</w:t>
      </w:r>
      <w:r>
        <w:rPr>
          <w:rFonts w:ascii="仿宋" w:hAnsi="仿宋" w:eastAsia="仿宋"/>
          <w:color w:val="auto"/>
          <w:sz w:val="30"/>
          <w:szCs w:val="30"/>
        </w:rPr>
        <w:t>申报出校门未立项补贴600分/项、国家级项目（限项）申报整个流程全部跟进但是未出校门补贴200分/项、国家级项目（不限项）申报补贴200分/项、省部级申报未立项补贴200分/项。</w:t>
      </w:r>
    </w:p>
    <w:p w14:paraId="3ADD13A1">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w:t>
      </w:r>
      <w:r>
        <w:rPr>
          <w:rFonts w:ascii="仿宋" w:hAnsi="仿宋" w:eastAsia="仿宋"/>
          <w:color w:val="auto"/>
          <w:sz w:val="30"/>
          <w:szCs w:val="30"/>
        </w:rPr>
        <w:t>.项目工作量的业绩分原则上不分配。</w:t>
      </w:r>
    </w:p>
    <w:p w14:paraId="4E46D257">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4</w:t>
      </w:r>
      <w:r>
        <w:rPr>
          <w:rFonts w:ascii="仿宋" w:hAnsi="仿宋" w:eastAsia="仿宋"/>
          <w:color w:val="auto"/>
          <w:sz w:val="30"/>
          <w:szCs w:val="30"/>
        </w:rPr>
        <w:t>.自科</w:t>
      </w:r>
      <w:r>
        <w:rPr>
          <w:rFonts w:hint="eastAsia" w:ascii="仿宋" w:hAnsi="仿宋" w:eastAsia="仿宋"/>
          <w:color w:val="auto"/>
          <w:sz w:val="30"/>
          <w:szCs w:val="30"/>
        </w:rPr>
        <w:t>类</w:t>
      </w:r>
      <w:r>
        <w:rPr>
          <w:rFonts w:ascii="仿宋" w:hAnsi="仿宋" w:eastAsia="仿宋"/>
          <w:color w:val="auto"/>
          <w:sz w:val="30"/>
          <w:szCs w:val="30"/>
        </w:rPr>
        <w:t>基金项目按照</w:t>
      </w:r>
      <w:r>
        <w:rPr>
          <w:rFonts w:hint="eastAsia" w:ascii="仿宋" w:hAnsi="仿宋" w:eastAsia="仿宋"/>
          <w:color w:val="auto"/>
          <w:sz w:val="30"/>
          <w:szCs w:val="30"/>
        </w:rPr>
        <w:t>学校核定业绩分</w:t>
      </w:r>
      <w:r>
        <w:rPr>
          <w:rFonts w:ascii="仿宋" w:hAnsi="仿宋" w:eastAsia="仿宋"/>
          <w:color w:val="auto"/>
          <w:sz w:val="30"/>
          <w:szCs w:val="30"/>
        </w:rPr>
        <w:t>的2倍计算。</w:t>
      </w:r>
    </w:p>
    <w:p w14:paraId="3A7FC1B2">
      <w:pPr>
        <w:adjustRightInd w:val="0"/>
        <w:snapToGrid w:val="0"/>
        <w:spacing w:line="520" w:lineRule="exact"/>
        <w:ind w:firstLine="602" w:firstLineChars="200"/>
        <w:rPr>
          <w:rFonts w:ascii="仿宋" w:hAnsi="仿宋" w:eastAsia="仿宋"/>
          <w:b/>
          <w:color w:val="auto"/>
          <w:sz w:val="30"/>
          <w:szCs w:val="30"/>
        </w:rPr>
      </w:pPr>
      <w:r>
        <w:rPr>
          <w:rFonts w:hint="eastAsia" w:ascii="仿宋" w:hAnsi="仿宋" w:eastAsia="仿宋"/>
          <w:b/>
          <w:color w:val="auto"/>
          <w:sz w:val="30"/>
          <w:szCs w:val="30"/>
        </w:rPr>
        <w:t>（二）</w:t>
      </w:r>
      <w:r>
        <w:rPr>
          <w:rFonts w:ascii="仿宋" w:hAnsi="仿宋" w:eastAsia="仿宋"/>
          <w:b/>
          <w:color w:val="auto"/>
          <w:sz w:val="30"/>
          <w:szCs w:val="30"/>
        </w:rPr>
        <w:t>横向项目工作量</w:t>
      </w:r>
    </w:p>
    <w:p w14:paraId="523699B0">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w:t>
      </w:r>
      <w:r>
        <w:rPr>
          <w:rFonts w:ascii="仿宋" w:hAnsi="仿宋" w:eastAsia="仿宋"/>
          <w:color w:val="auto"/>
          <w:sz w:val="30"/>
          <w:szCs w:val="30"/>
        </w:rPr>
        <w:t>.</w:t>
      </w:r>
      <w:r>
        <w:rPr>
          <w:rFonts w:hint="eastAsia" w:ascii="仿宋" w:hAnsi="仿宋" w:eastAsia="仿宋"/>
          <w:color w:val="auto"/>
          <w:sz w:val="30"/>
          <w:szCs w:val="30"/>
        </w:rPr>
        <w:t>横向项目业绩分</w:t>
      </w:r>
      <w:r>
        <w:rPr>
          <w:rFonts w:ascii="仿宋" w:hAnsi="仿宋" w:eastAsia="仿宋"/>
          <w:color w:val="auto"/>
          <w:sz w:val="30"/>
          <w:szCs w:val="30"/>
        </w:rPr>
        <w:t>参照</w:t>
      </w:r>
      <w:r>
        <w:rPr>
          <w:rFonts w:hint="eastAsia" w:ascii="仿宋" w:hAnsi="仿宋" w:eastAsia="仿宋"/>
          <w:color w:val="auto"/>
          <w:sz w:val="30"/>
          <w:szCs w:val="30"/>
        </w:rPr>
        <w:t>学校</w:t>
      </w:r>
      <w:r>
        <w:rPr>
          <w:rFonts w:ascii="仿宋" w:hAnsi="仿宋" w:eastAsia="仿宋"/>
          <w:color w:val="auto"/>
          <w:sz w:val="30"/>
          <w:szCs w:val="30"/>
        </w:rPr>
        <w:t>科研业绩分计算办法计算，计算期限与学校同步。</w:t>
      </w:r>
    </w:p>
    <w:p w14:paraId="13B2CE7B">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w:t>
      </w:r>
      <w:r>
        <w:rPr>
          <w:rFonts w:ascii="仿宋" w:hAnsi="仿宋" w:eastAsia="仿宋"/>
          <w:color w:val="auto"/>
          <w:sz w:val="30"/>
          <w:szCs w:val="30"/>
        </w:rPr>
        <w:t>.</w:t>
      </w:r>
      <w:r>
        <w:rPr>
          <w:rFonts w:hint="eastAsia" w:ascii="仿宋" w:hAnsi="仿宋" w:eastAsia="仿宋"/>
          <w:color w:val="auto"/>
          <w:sz w:val="30"/>
          <w:szCs w:val="30"/>
        </w:rPr>
        <w:t>横向项目</w:t>
      </w:r>
      <w:r>
        <w:rPr>
          <w:rFonts w:ascii="仿宋" w:hAnsi="仿宋" w:eastAsia="仿宋"/>
          <w:color w:val="auto"/>
          <w:sz w:val="30"/>
          <w:szCs w:val="30"/>
        </w:rPr>
        <w:t>业绩分的拆分与否由负责人决定，如果拆分，由负责人依据贡献大小确定</w:t>
      </w:r>
      <w:r>
        <w:rPr>
          <w:rFonts w:hint="eastAsia" w:ascii="仿宋" w:hAnsi="仿宋" w:eastAsia="仿宋"/>
          <w:color w:val="auto"/>
          <w:sz w:val="30"/>
          <w:szCs w:val="30"/>
        </w:rPr>
        <w:t>分值</w:t>
      </w:r>
      <w:r>
        <w:rPr>
          <w:rFonts w:ascii="仿宋" w:hAnsi="仿宋" w:eastAsia="仿宋"/>
          <w:color w:val="auto"/>
          <w:sz w:val="30"/>
          <w:szCs w:val="30"/>
        </w:rPr>
        <w:t>。</w:t>
      </w:r>
    </w:p>
    <w:p w14:paraId="4DA7FA7B">
      <w:pPr>
        <w:adjustRightInd w:val="0"/>
        <w:snapToGrid w:val="0"/>
        <w:spacing w:line="520" w:lineRule="exact"/>
        <w:ind w:firstLine="602" w:firstLineChars="200"/>
        <w:rPr>
          <w:rFonts w:ascii="仿宋" w:hAnsi="仿宋" w:eastAsia="仿宋"/>
          <w:b/>
          <w:color w:val="auto"/>
          <w:sz w:val="30"/>
          <w:szCs w:val="30"/>
        </w:rPr>
      </w:pPr>
      <w:r>
        <w:rPr>
          <w:rFonts w:ascii="仿宋" w:hAnsi="仿宋" w:eastAsia="仿宋"/>
          <w:b/>
          <w:color w:val="auto"/>
          <w:sz w:val="30"/>
          <w:szCs w:val="30"/>
        </w:rPr>
        <w:t>二、科研成果工作量</w:t>
      </w:r>
    </w:p>
    <w:p w14:paraId="40412A8F">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w:t>
      </w:r>
      <w:r>
        <w:rPr>
          <w:rFonts w:ascii="仿宋" w:hAnsi="仿宋" w:eastAsia="仿宋"/>
          <w:color w:val="auto"/>
          <w:sz w:val="30"/>
          <w:szCs w:val="30"/>
        </w:rPr>
        <w:t>.论文工作量参照学校科研业绩分计算办法</w:t>
      </w:r>
      <w:r>
        <w:rPr>
          <w:rFonts w:hint="eastAsia" w:ascii="仿宋" w:hAnsi="仿宋" w:eastAsia="仿宋"/>
          <w:color w:val="auto"/>
          <w:sz w:val="30"/>
          <w:szCs w:val="30"/>
          <w:lang w:eastAsia="zh-CN"/>
        </w:rPr>
        <w:t>（</w:t>
      </w:r>
      <w:r>
        <w:rPr>
          <w:rFonts w:hint="eastAsia" w:ascii="仿宋" w:hAnsi="仿宋" w:eastAsia="仿宋"/>
          <w:color w:val="auto"/>
          <w:sz w:val="30"/>
          <w:szCs w:val="30"/>
          <w:lang w:val="en-US" w:eastAsia="zh-CN"/>
        </w:rPr>
        <w:t>修订</w:t>
      </w:r>
      <w:r>
        <w:rPr>
          <w:rFonts w:hint="eastAsia" w:ascii="仿宋" w:hAnsi="仿宋" w:eastAsia="仿宋"/>
          <w:color w:val="auto"/>
          <w:sz w:val="30"/>
          <w:szCs w:val="30"/>
          <w:lang w:eastAsia="zh-CN"/>
        </w:rPr>
        <w:t>）</w:t>
      </w:r>
      <w:r>
        <w:rPr>
          <w:rFonts w:hint="eastAsia" w:ascii="仿宋" w:hAnsi="仿宋" w:eastAsia="仿宋"/>
          <w:color w:val="auto"/>
          <w:sz w:val="30"/>
          <w:szCs w:val="30"/>
        </w:rPr>
        <w:t>（通大[2022]15号）</w:t>
      </w:r>
      <w:r>
        <w:rPr>
          <w:rFonts w:ascii="仿宋" w:hAnsi="仿宋" w:eastAsia="仿宋"/>
          <w:color w:val="auto"/>
          <w:sz w:val="30"/>
          <w:szCs w:val="30"/>
        </w:rPr>
        <w:t>计算。</w:t>
      </w:r>
    </w:p>
    <w:p w14:paraId="1F0A7CAE">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w:t>
      </w:r>
      <w:r>
        <w:rPr>
          <w:rFonts w:ascii="仿宋" w:hAnsi="仿宋" w:eastAsia="仿宋"/>
          <w:color w:val="auto"/>
          <w:sz w:val="30"/>
          <w:szCs w:val="30"/>
        </w:rPr>
        <w:t>.</w:t>
      </w:r>
      <w:r>
        <w:rPr>
          <w:rFonts w:hint="eastAsia" w:ascii="仿宋" w:hAnsi="仿宋" w:eastAsia="仿宋"/>
          <w:color w:val="auto"/>
          <w:sz w:val="30"/>
          <w:szCs w:val="30"/>
        </w:rPr>
        <w:t>著作</w:t>
      </w:r>
      <w:r>
        <w:rPr>
          <w:rFonts w:ascii="仿宋" w:hAnsi="仿宋" w:eastAsia="仿宋"/>
          <w:color w:val="auto"/>
          <w:sz w:val="30"/>
          <w:szCs w:val="30"/>
        </w:rPr>
        <w:t>、</w:t>
      </w:r>
      <w:r>
        <w:rPr>
          <w:rFonts w:hint="eastAsia" w:ascii="仿宋" w:hAnsi="仿宋" w:eastAsia="仿宋"/>
          <w:color w:val="auto"/>
          <w:sz w:val="30"/>
          <w:szCs w:val="30"/>
        </w:rPr>
        <w:t>科研成果奖、决策咨询报告</w:t>
      </w:r>
      <w:r>
        <w:rPr>
          <w:rFonts w:ascii="仿宋" w:hAnsi="仿宋" w:eastAsia="仿宋"/>
          <w:color w:val="auto"/>
          <w:sz w:val="30"/>
          <w:szCs w:val="30"/>
        </w:rPr>
        <w:t>的工作量参照学校科研业绩分计算办法</w:t>
      </w:r>
      <w:r>
        <w:rPr>
          <w:rFonts w:hint="eastAsia" w:ascii="仿宋" w:hAnsi="仿宋" w:eastAsia="仿宋"/>
          <w:color w:val="auto"/>
          <w:sz w:val="30"/>
          <w:szCs w:val="30"/>
          <w:lang w:eastAsia="zh-CN"/>
        </w:rPr>
        <w:t>（</w:t>
      </w:r>
      <w:r>
        <w:rPr>
          <w:rFonts w:hint="eastAsia" w:ascii="仿宋" w:hAnsi="仿宋" w:eastAsia="仿宋"/>
          <w:color w:val="auto"/>
          <w:sz w:val="30"/>
          <w:szCs w:val="30"/>
          <w:lang w:val="en-US" w:eastAsia="zh-CN"/>
        </w:rPr>
        <w:t>修订</w:t>
      </w:r>
      <w:r>
        <w:rPr>
          <w:rFonts w:hint="eastAsia" w:ascii="仿宋" w:hAnsi="仿宋" w:eastAsia="仿宋"/>
          <w:color w:val="auto"/>
          <w:sz w:val="30"/>
          <w:szCs w:val="30"/>
          <w:lang w:eastAsia="zh-CN"/>
        </w:rPr>
        <w:t>）</w:t>
      </w:r>
      <w:r>
        <w:rPr>
          <w:rFonts w:hint="eastAsia" w:ascii="仿宋" w:hAnsi="仿宋" w:eastAsia="仿宋"/>
          <w:color w:val="auto"/>
          <w:sz w:val="30"/>
          <w:szCs w:val="30"/>
        </w:rPr>
        <w:t>（通大[2022]15号）</w:t>
      </w:r>
      <w:r>
        <w:rPr>
          <w:rFonts w:ascii="仿宋" w:hAnsi="仿宋" w:eastAsia="仿宋"/>
          <w:color w:val="auto"/>
          <w:sz w:val="30"/>
          <w:szCs w:val="30"/>
        </w:rPr>
        <w:t>计算。</w:t>
      </w:r>
    </w:p>
    <w:p w14:paraId="705DD2AF">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w:t>
      </w:r>
      <w:r>
        <w:rPr>
          <w:rFonts w:ascii="仿宋" w:hAnsi="仿宋" w:eastAsia="仿宋"/>
          <w:color w:val="auto"/>
          <w:sz w:val="30"/>
          <w:szCs w:val="30"/>
        </w:rPr>
        <w:t>.</w:t>
      </w:r>
      <w:r>
        <w:rPr>
          <w:rFonts w:hint="eastAsia" w:ascii="仿宋" w:hAnsi="仿宋" w:eastAsia="仿宋"/>
          <w:color w:val="auto"/>
          <w:sz w:val="30"/>
          <w:szCs w:val="30"/>
        </w:rPr>
        <w:t>申报未获奖的省部级以上科研成果奖补贴</w:t>
      </w:r>
      <w:r>
        <w:rPr>
          <w:rFonts w:ascii="仿宋" w:hAnsi="仿宋" w:eastAsia="仿宋"/>
          <w:color w:val="auto"/>
          <w:sz w:val="30"/>
          <w:szCs w:val="30"/>
        </w:rPr>
        <w:t>100分/项。</w:t>
      </w:r>
    </w:p>
    <w:p w14:paraId="3BB198C8">
      <w:pPr>
        <w:adjustRightInd w:val="0"/>
        <w:snapToGrid w:val="0"/>
        <w:spacing w:line="520" w:lineRule="exact"/>
        <w:ind w:firstLine="602" w:firstLineChars="200"/>
        <w:rPr>
          <w:rFonts w:ascii="仿宋" w:hAnsi="仿宋" w:eastAsia="仿宋"/>
          <w:b/>
          <w:color w:val="auto"/>
          <w:sz w:val="30"/>
          <w:szCs w:val="30"/>
        </w:rPr>
      </w:pPr>
      <w:r>
        <w:rPr>
          <w:rFonts w:ascii="仿宋" w:hAnsi="仿宋" w:eastAsia="仿宋"/>
          <w:b/>
          <w:color w:val="auto"/>
          <w:sz w:val="30"/>
          <w:szCs w:val="30"/>
        </w:rPr>
        <w:t>三、参与科研活动</w:t>
      </w:r>
    </w:p>
    <w:p w14:paraId="273EF451">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为营造学院科研氛围、提升了学术能力和水平，鼓励教师参与学院各类科研活动，教师参与学院举办的各类经管论坛、沙龙等讲座，给予工作量鼓励，线下参与计</w:t>
      </w:r>
      <w:r>
        <w:rPr>
          <w:rFonts w:ascii="仿宋" w:hAnsi="仿宋" w:eastAsia="仿宋"/>
          <w:color w:val="auto"/>
          <w:sz w:val="30"/>
          <w:szCs w:val="30"/>
        </w:rPr>
        <w:t>20</w:t>
      </w:r>
      <w:r>
        <w:rPr>
          <w:rFonts w:hint="eastAsia" w:ascii="仿宋" w:hAnsi="仿宋" w:eastAsia="仿宋"/>
          <w:color w:val="auto"/>
          <w:sz w:val="30"/>
          <w:szCs w:val="30"/>
        </w:rPr>
        <w:t>分/次，进行论坛和沙龙分享的老师计</w:t>
      </w:r>
      <w:r>
        <w:rPr>
          <w:rFonts w:ascii="仿宋" w:hAnsi="仿宋" w:eastAsia="仿宋"/>
          <w:color w:val="auto"/>
          <w:sz w:val="30"/>
          <w:szCs w:val="30"/>
        </w:rPr>
        <w:t>200</w:t>
      </w:r>
      <w:r>
        <w:rPr>
          <w:rFonts w:hint="eastAsia" w:ascii="仿宋" w:hAnsi="仿宋" w:eastAsia="仿宋"/>
          <w:color w:val="auto"/>
          <w:sz w:val="30"/>
          <w:szCs w:val="30"/>
        </w:rPr>
        <w:t>分/次。</w:t>
      </w:r>
    </w:p>
    <w:p w14:paraId="352FA217">
      <w:pPr>
        <w:adjustRightInd w:val="0"/>
        <w:snapToGrid w:val="0"/>
        <w:spacing w:line="520" w:lineRule="exact"/>
        <w:ind w:firstLine="602" w:firstLineChars="200"/>
        <w:rPr>
          <w:rFonts w:ascii="仿宋" w:hAnsi="仿宋" w:eastAsia="仿宋"/>
          <w:b/>
          <w:color w:val="auto"/>
          <w:sz w:val="30"/>
          <w:szCs w:val="30"/>
        </w:rPr>
      </w:pPr>
      <w:r>
        <w:rPr>
          <w:rFonts w:ascii="仿宋" w:hAnsi="仿宋" w:eastAsia="仿宋"/>
          <w:b/>
          <w:color w:val="auto"/>
          <w:sz w:val="30"/>
          <w:szCs w:val="30"/>
        </w:rPr>
        <w:t>四、其他</w:t>
      </w:r>
    </w:p>
    <w:p w14:paraId="29829446">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w:t>
      </w:r>
      <w:r>
        <w:rPr>
          <w:rFonts w:ascii="仿宋" w:hAnsi="仿宋" w:eastAsia="仿宋"/>
          <w:color w:val="auto"/>
          <w:sz w:val="30"/>
          <w:szCs w:val="30"/>
        </w:rPr>
        <w:t>.上述办法适用于</w:t>
      </w:r>
      <w:r>
        <w:rPr>
          <w:rFonts w:ascii="仿宋" w:hAnsi="仿宋" w:eastAsia="仿宋"/>
          <w:b/>
          <w:bCs/>
          <w:color w:val="auto"/>
          <w:sz w:val="30"/>
          <w:szCs w:val="30"/>
        </w:rPr>
        <w:t>202</w:t>
      </w:r>
      <w:r>
        <w:rPr>
          <w:rFonts w:hint="eastAsia" w:ascii="仿宋" w:hAnsi="仿宋" w:eastAsia="仿宋"/>
          <w:b/>
          <w:bCs/>
          <w:color w:val="auto"/>
          <w:sz w:val="30"/>
          <w:szCs w:val="30"/>
          <w:lang w:val="en-US" w:eastAsia="zh-CN"/>
        </w:rPr>
        <w:t>6</w:t>
      </w:r>
      <w:r>
        <w:rPr>
          <w:rFonts w:ascii="仿宋" w:hAnsi="仿宋" w:eastAsia="仿宋"/>
          <w:color w:val="auto"/>
          <w:sz w:val="30"/>
          <w:szCs w:val="30"/>
        </w:rPr>
        <w:t>年度新取得的科研成果。</w:t>
      </w:r>
    </w:p>
    <w:p w14:paraId="117F10EF">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w:t>
      </w:r>
      <w:r>
        <w:rPr>
          <w:rFonts w:ascii="仿宋" w:hAnsi="仿宋" w:eastAsia="仿宋"/>
          <w:color w:val="auto"/>
          <w:sz w:val="30"/>
          <w:szCs w:val="30"/>
        </w:rPr>
        <w:t>.未尽事</w:t>
      </w:r>
      <w:bookmarkStart w:id="0" w:name="_GoBack"/>
      <w:bookmarkEnd w:id="0"/>
      <w:r>
        <w:rPr>
          <w:rFonts w:ascii="仿宋" w:hAnsi="仿宋" w:eastAsia="仿宋"/>
          <w:color w:val="auto"/>
          <w:sz w:val="30"/>
          <w:szCs w:val="30"/>
        </w:rPr>
        <w:t>宜由学院考核领导小组解释。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D40"/>
    <w:rsid w:val="00032D0B"/>
    <w:rsid w:val="000B0DE8"/>
    <w:rsid w:val="000C4543"/>
    <w:rsid w:val="000D40D1"/>
    <w:rsid w:val="000F17D2"/>
    <w:rsid w:val="000F3349"/>
    <w:rsid w:val="0010349A"/>
    <w:rsid w:val="001622A2"/>
    <w:rsid w:val="0017121D"/>
    <w:rsid w:val="00175562"/>
    <w:rsid w:val="00194196"/>
    <w:rsid w:val="00195055"/>
    <w:rsid w:val="001A3846"/>
    <w:rsid w:val="001A3A79"/>
    <w:rsid w:val="001B788A"/>
    <w:rsid w:val="001C0B88"/>
    <w:rsid w:val="001C1BE2"/>
    <w:rsid w:val="001C3A30"/>
    <w:rsid w:val="001D23E2"/>
    <w:rsid w:val="001E684F"/>
    <w:rsid w:val="002062D9"/>
    <w:rsid w:val="00214041"/>
    <w:rsid w:val="002244D4"/>
    <w:rsid w:val="00262F4F"/>
    <w:rsid w:val="002805AD"/>
    <w:rsid w:val="00291AFD"/>
    <w:rsid w:val="002B03D7"/>
    <w:rsid w:val="002D0826"/>
    <w:rsid w:val="002D18A8"/>
    <w:rsid w:val="002D4360"/>
    <w:rsid w:val="002D723B"/>
    <w:rsid w:val="002D7A79"/>
    <w:rsid w:val="00304C1A"/>
    <w:rsid w:val="00314316"/>
    <w:rsid w:val="00337E56"/>
    <w:rsid w:val="0034576D"/>
    <w:rsid w:val="003470D9"/>
    <w:rsid w:val="00356B20"/>
    <w:rsid w:val="003805D3"/>
    <w:rsid w:val="00391C1F"/>
    <w:rsid w:val="003A1D1A"/>
    <w:rsid w:val="003B219E"/>
    <w:rsid w:val="003B4959"/>
    <w:rsid w:val="003C2ACB"/>
    <w:rsid w:val="004015E3"/>
    <w:rsid w:val="004244E4"/>
    <w:rsid w:val="0044232B"/>
    <w:rsid w:val="00443661"/>
    <w:rsid w:val="004869B1"/>
    <w:rsid w:val="004B0028"/>
    <w:rsid w:val="004D702C"/>
    <w:rsid w:val="00544D2F"/>
    <w:rsid w:val="00554313"/>
    <w:rsid w:val="00557E7A"/>
    <w:rsid w:val="00563C0D"/>
    <w:rsid w:val="0056741A"/>
    <w:rsid w:val="005F12AA"/>
    <w:rsid w:val="00615A2C"/>
    <w:rsid w:val="00620AF4"/>
    <w:rsid w:val="0062295A"/>
    <w:rsid w:val="00637E31"/>
    <w:rsid w:val="0065281F"/>
    <w:rsid w:val="006558FC"/>
    <w:rsid w:val="00657F6F"/>
    <w:rsid w:val="00677FEE"/>
    <w:rsid w:val="00683492"/>
    <w:rsid w:val="00685952"/>
    <w:rsid w:val="006A7307"/>
    <w:rsid w:val="006A7488"/>
    <w:rsid w:val="006C0A4E"/>
    <w:rsid w:val="006C5C42"/>
    <w:rsid w:val="006C5D4B"/>
    <w:rsid w:val="006E2471"/>
    <w:rsid w:val="006F0BBA"/>
    <w:rsid w:val="006F1DDB"/>
    <w:rsid w:val="006F4DC2"/>
    <w:rsid w:val="00700C51"/>
    <w:rsid w:val="007067C0"/>
    <w:rsid w:val="00726EB4"/>
    <w:rsid w:val="0073155F"/>
    <w:rsid w:val="00737BA7"/>
    <w:rsid w:val="0076359C"/>
    <w:rsid w:val="00773638"/>
    <w:rsid w:val="00776715"/>
    <w:rsid w:val="00782A9A"/>
    <w:rsid w:val="007E562D"/>
    <w:rsid w:val="007E6941"/>
    <w:rsid w:val="007F391E"/>
    <w:rsid w:val="0081021F"/>
    <w:rsid w:val="0081576C"/>
    <w:rsid w:val="00821847"/>
    <w:rsid w:val="00830054"/>
    <w:rsid w:val="008455BB"/>
    <w:rsid w:val="008461AE"/>
    <w:rsid w:val="00855DF5"/>
    <w:rsid w:val="008B0547"/>
    <w:rsid w:val="008B2DF4"/>
    <w:rsid w:val="008C6E31"/>
    <w:rsid w:val="00904866"/>
    <w:rsid w:val="00934C79"/>
    <w:rsid w:val="0095063C"/>
    <w:rsid w:val="00950873"/>
    <w:rsid w:val="00951685"/>
    <w:rsid w:val="00991065"/>
    <w:rsid w:val="009B4C04"/>
    <w:rsid w:val="009B5365"/>
    <w:rsid w:val="00A13BC3"/>
    <w:rsid w:val="00A40502"/>
    <w:rsid w:val="00A50B08"/>
    <w:rsid w:val="00A90096"/>
    <w:rsid w:val="00AA6795"/>
    <w:rsid w:val="00AB63A7"/>
    <w:rsid w:val="00AE75ED"/>
    <w:rsid w:val="00AF4F4A"/>
    <w:rsid w:val="00AF6219"/>
    <w:rsid w:val="00B35CCD"/>
    <w:rsid w:val="00B37C27"/>
    <w:rsid w:val="00B42C16"/>
    <w:rsid w:val="00B6310B"/>
    <w:rsid w:val="00B7049D"/>
    <w:rsid w:val="00B76934"/>
    <w:rsid w:val="00BA24C0"/>
    <w:rsid w:val="00BB1142"/>
    <w:rsid w:val="00BD0C1B"/>
    <w:rsid w:val="00C108A8"/>
    <w:rsid w:val="00C264CA"/>
    <w:rsid w:val="00C31C54"/>
    <w:rsid w:val="00C32F9D"/>
    <w:rsid w:val="00C53571"/>
    <w:rsid w:val="00C57C12"/>
    <w:rsid w:val="00C75EEB"/>
    <w:rsid w:val="00C80462"/>
    <w:rsid w:val="00CA0FCE"/>
    <w:rsid w:val="00CB644F"/>
    <w:rsid w:val="00CD4E6C"/>
    <w:rsid w:val="00D43EDE"/>
    <w:rsid w:val="00D759E2"/>
    <w:rsid w:val="00D868E8"/>
    <w:rsid w:val="00D86F54"/>
    <w:rsid w:val="00D873A5"/>
    <w:rsid w:val="00DA7C99"/>
    <w:rsid w:val="00DB1D40"/>
    <w:rsid w:val="00DC18CA"/>
    <w:rsid w:val="00DE1692"/>
    <w:rsid w:val="00DE3B5D"/>
    <w:rsid w:val="00E30734"/>
    <w:rsid w:val="00E44742"/>
    <w:rsid w:val="00E64F6D"/>
    <w:rsid w:val="00E70694"/>
    <w:rsid w:val="00E80DD0"/>
    <w:rsid w:val="00E921BC"/>
    <w:rsid w:val="00EA1351"/>
    <w:rsid w:val="00EB5043"/>
    <w:rsid w:val="00ED64E3"/>
    <w:rsid w:val="00ED6703"/>
    <w:rsid w:val="00EF21F7"/>
    <w:rsid w:val="00EF2ECB"/>
    <w:rsid w:val="00F82D69"/>
    <w:rsid w:val="00FC2670"/>
    <w:rsid w:val="00FD7417"/>
    <w:rsid w:val="00FE4B42"/>
    <w:rsid w:val="05D82AF7"/>
    <w:rsid w:val="095707D5"/>
    <w:rsid w:val="0B2307A1"/>
    <w:rsid w:val="0C457C00"/>
    <w:rsid w:val="0EAF2794"/>
    <w:rsid w:val="10685029"/>
    <w:rsid w:val="10DD0E9B"/>
    <w:rsid w:val="15C251DC"/>
    <w:rsid w:val="15EC5599"/>
    <w:rsid w:val="17AF5B7C"/>
    <w:rsid w:val="1B721452"/>
    <w:rsid w:val="1F417E98"/>
    <w:rsid w:val="22E744D4"/>
    <w:rsid w:val="25904217"/>
    <w:rsid w:val="25D314C5"/>
    <w:rsid w:val="2EC65B66"/>
    <w:rsid w:val="37B16674"/>
    <w:rsid w:val="38AC78FA"/>
    <w:rsid w:val="42D52872"/>
    <w:rsid w:val="45F1083C"/>
    <w:rsid w:val="46D60940"/>
    <w:rsid w:val="4D2303F3"/>
    <w:rsid w:val="56E85B49"/>
    <w:rsid w:val="58D436DA"/>
    <w:rsid w:val="59DD0AF6"/>
    <w:rsid w:val="5E0C4D05"/>
    <w:rsid w:val="63F3457C"/>
    <w:rsid w:val="640C6E4E"/>
    <w:rsid w:val="65774D6F"/>
    <w:rsid w:val="65C29DCD"/>
    <w:rsid w:val="669929BC"/>
    <w:rsid w:val="6AB91FE0"/>
    <w:rsid w:val="6C474C68"/>
    <w:rsid w:val="74687E72"/>
    <w:rsid w:val="75D30760"/>
    <w:rsid w:val="7892370F"/>
    <w:rsid w:val="7BFD3C4A"/>
    <w:rsid w:val="F1FF1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3"/>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annotation reference"/>
    <w:basedOn w:val="7"/>
    <w:semiHidden/>
    <w:unhideWhenUsed/>
    <w:qFormat/>
    <w:uiPriority w:val="99"/>
    <w:rPr>
      <w:sz w:val="21"/>
      <w:szCs w:val="21"/>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 w:type="paragraph" w:styleId="11">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12">
    <w:name w:val="List Paragraph"/>
    <w:basedOn w:val="1"/>
    <w:qFormat/>
    <w:uiPriority w:val="34"/>
    <w:pPr>
      <w:ind w:firstLine="420" w:firstLineChars="200"/>
    </w:pPr>
  </w:style>
  <w:style w:type="character" w:customStyle="1" w:styleId="13">
    <w:name w:val="批注框文本 字符"/>
    <w:basedOn w:val="7"/>
    <w:link w:val="3"/>
    <w:semiHidden/>
    <w:qFormat/>
    <w:uiPriority w:val="99"/>
    <w:rPr>
      <w:rFonts w:ascii="Times New Roman" w:hAnsi="Times New Roman" w:eastAsia="宋体" w:cs="Times New Roman"/>
      <w:sz w:val="18"/>
      <w:szCs w:val="18"/>
    </w:rPr>
  </w:style>
  <w:style w:type="paragraph" w:customStyle="1" w:styleId="14">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2</Pages>
  <Words>567</Words>
  <Characters>608</Characters>
  <Lines>4</Lines>
  <Paragraphs>1</Paragraphs>
  <TotalTime>14</TotalTime>
  <ScaleCrop>false</ScaleCrop>
  <LinksUpToDate>false</LinksUpToDate>
  <CharactersWithSpaces>608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2025-12-31T18:26:00Z</dcterms:created>
  <dc:creator>系统管理员</dc:creator>
  <cp:lastModifiedBy>Beibei Mu</cp:lastModifiedBy>
  <cp:lastPrinted>2020-01-07T18:59:00Z</cp:lastPrinted>
  <dcterms:modified xsi:type="dcterms:W3CDTF">2026-07-10T05:13:38Z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D936C955B8A94FC5A0A436DC9C13F9C9</vt:lpwstr>
  </property>
  <property fmtid="{D5CDD505-2E9C-101B-9397-08002B2CF9AE}" pid="4" name="KSOTemplateDocerSaveRecord">
    <vt:lpwstr>eyJoZGlkIjoiYjAwOTkzNGM0ZTFlOTI3ZjEwYjc1OTA1Y2UxNWU1NmYiLCJ1c2VySWQiOiI1NDA2ODE0NjEifQ==</vt:lpwstr>
  </property>
</Properties>
</file>